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7786" w14:textId="69E6AC4A" w:rsidR="00230617" w:rsidRPr="00871903" w:rsidRDefault="00230617" w:rsidP="002306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el-GR"/>
        </w:rPr>
      </w:pPr>
      <w:r w:rsidRPr="0087190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el-GR"/>
        </w:rPr>
        <w:t>Πυρασφάλεια-Μέτρα Πυρασφάλειας στο χώρο εργασίας</w:t>
      </w:r>
    </w:p>
    <w:p w14:paraId="68CB1224" w14:textId="51022CFB" w:rsidR="00230617" w:rsidRPr="00871903" w:rsidRDefault="00230617" w:rsidP="00871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</w:pPr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t>Η πρόληψη της πυρκαγιάς είναι σημαντική σε ένα κτίριο. Οι ακόλουθες οδηγίες πρέπει να τηρούνται πιστά από όλους τους εργαζόμενους σε όλους τους χώρους.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286"/>
      </w:tblGrid>
      <w:tr w:rsidR="00230617" w:rsidRPr="00871903" w14:paraId="29694238" w14:textId="77777777" w:rsidTr="00871903">
        <w:trPr>
          <w:tblCellSpacing w:w="0" w:type="dxa"/>
        </w:trPr>
        <w:tc>
          <w:tcPr>
            <w:tcW w:w="12" w:type="pct"/>
            <w:shd w:val="clear" w:color="auto" w:fill="FFFFFF"/>
            <w:vAlign w:val="center"/>
            <w:hideMark/>
          </w:tcPr>
          <w:p w14:paraId="5183D8D7" w14:textId="72007823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4988" w:type="pct"/>
            <w:shd w:val="clear" w:color="auto" w:fill="FFFFFF"/>
            <w:vAlign w:val="center"/>
            <w:hideMark/>
          </w:tcPr>
          <w:p w14:paraId="4A228586" w14:textId="77777777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Συνεχής καθαρισμός των χώρων εργασίας</w:t>
            </w:r>
          </w:p>
        </w:tc>
      </w:tr>
      <w:tr w:rsidR="00230617" w:rsidRPr="00871903" w14:paraId="6C35A87F" w14:textId="77777777" w:rsidTr="00871903">
        <w:trPr>
          <w:tblCellSpacing w:w="0" w:type="dxa"/>
        </w:trPr>
        <w:tc>
          <w:tcPr>
            <w:tcW w:w="12" w:type="pct"/>
            <w:shd w:val="clear" w:color="auto" w:fill="FFFFFF"/>
            <w:vAlign w:val="center"/>
            <w:hideMark/>
          </w:tcPr>
          <w:p w14:paraId="461E1E55" w14:textId="09DAFD09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4988" w:type="pct"/>
            <w:shd w:val="clear" w:color="auto" w:fill="FFFFFF"/>
            <w:vAlign w:val="center"/>
            <w:hideMark/>
          </w:tcPr>
          <w:p w14:paraId="0C7E815E" w14:textId="77777777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 xml:space="preserve">Απομάκρυνση - απομόνωση εύφλεκτων ή </w:t>
            </w:r>
            <w:proofErr w:type="spellStart"/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αυταναφλέξιμων</w:t>
            </w:r>
            <w:proofErr w:type="spellEnd"/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 xml:space="preserve"> υλών</w:t>
            </w:r>
          </w:p>
        </w:tc>
      </w:tr>
      <w:tr w:rsidR="00230617" w:rsidRPr="00871903" w14:paraId="05BD31AB" w14:textId="77777777" w:rsidTr="00871903">
        <w:trPr>
          <w:tblCellSpacing w:w="0" w:type="dxa"/>
        </w:trPr>
        <w:tc>
          <w:tcPr>
            <w:tcW w:w="12" w:type="pct"/>
            <w:shd w:val="clear" w:color="auto" w:fill="FFFFFF"/>
            <w:vAlign w:val="center"/>
            <w:hideMark/>
          </w:tcPr>
          <w:p w14:paraId="618DF690" w14:textId="3091DFE6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4988" w:type="pct"/>
            <w:shd w:val="clear" w:color="auto" w:fill="FFFFFF"/>
            <w:vAlign w:val="center"/>
            <w:hideMark/>
          </w:tcPr>
          <w:p w14:paraId="1E38D7D8" w14:textId="77777777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Αποφυγή χρησιμοποίησης γυμνών φώτων. Σε περίπτωση που μια δυσλειτουργία γίνει αντιληπτή, καλέστε με γράμμα τον υπεύθυνο της τεχνικής υπηρεσίας.</w:t>
            </w:r>
          </w:p>
        </w:tc>
      </w:tr>
      <w:tr w:rsidR="00230617" w:rsidRPr="00871903" w14:paraId="7139E919" w14:textId="77777777" w:rsidTr="00871903">
        <w:trPr>
          <w:tblCellSpacing w:w="0" w:type="dxa"/>
        </w:trPr>
        <w:tc>
          <w:tcPr>
            <w:tcW w:w="12" w:type="pct"/>
            <w:shd w:val="clear" w:color="auto" w:fill="FFFFFF"/>
            <w:vAlign w:val="center"/>
            <w:hideMark/>
          </w:tcPr>
          <w:p w14:paraId="46272970" w14:textId="75C0C3D6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4988" w:type="pct"/>
            <w:shd w:val="clear" w:color="auto" w:fill="FFFFFF"/>
            <w:vAlign w:val="center"/>
            <w:hideMark/>
          </w:tcPr>
          <w:p w14:paraId="676D8FFE" w14:textId="77777777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Αποφυγή ανάμιξης χημικών προϊόντων χωρίς γνώση των συνεπειών.</w:t>
            </w:r>
          </w:p>
        </w:tc>
      </w:tr>
      <w:tr w:rsidR="00230617" w:rsidRPr="00871903" w14:paraId="6BAC1559" w14:textId="77777777" w:rsidTr="00871903">
        <w:trPr>
          <w:tblCellSpacing w:w="0" w:type="dxa"/>
        </w:trPr>
        <w:tc>
          <w:tcPr>
            <w:tcW w:w="12" w:type="pct"/>
            <w:shd w:val="clear" w:color="auto" w:fill="FFFFFF"/>
            <w:vAlign w:val="center"/>
            <w:hideMark/>
          </w:tcPr>
          <w:p w14:paraId="55B05E84" w14:textId="3383BAA3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4988" w:type="pct"/>
            <w:shd w:val="clear" w:color="auto" w:fill="FFFFFF"/>
            <w:vAlign w:val="center"/>
            <w:hideMark/>
          </w:tcPr>
          <w:p w14:paraId="6A26C04C" w14:textId="77777777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Καλός και συνεχής αερισμός.</w:t>
            </w:r>
          </w:p>
        </w:tc>
      </w:tr>
      <w:tr w:rsidR="00230617" w:rsidRPr="00871903" w14:paraId="346ED767" w14:textId="77777777" w:rsidTr="00871903">
        <w:trPr>
          <w:tblCellSpacing w:w="0" w:type="dxa"/>
        </w:trPr>
        <w:tc>
          <w:tcPr>
            <w:tcW w:w="12" w:type="pct"/>
            <w:shd w:val="clear" w:color="auto" w:fill="FFFFFF"/>
            <w:vAlign w:val="center"/>
            <w:hideMark/>
          </w:tcPr>
          <w:p w14:paraId="43BBED32" w14:textId="6C2A0073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4988" w:type="pct"/>
            <w:shd w:val="clear" w:color="auto" w:fill="FFFFFF"/>
            <w:vAlign w:val="center"/>
            <w:hideMark/>
          </w:tcPr>
          <w:p w14:paraId="1B87665E" w14:textId="565DADBC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 xml:space="preserve">Αποχή από το κάπνισμα σε επικίνδυνους χώρους. </w:t>
            </w:r>
            <w:r w:rsidR="00871903"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Συνεννοηθείτε</w:t>
            </w: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 xml:space="preserve"> με τον </w:t>
            </w:r>
            <w:r w:rsidR="00871903"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υπεύθυνο</w:t>
            </w: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 xml:space="preserve"> τεχνικό ασφαλείας για την ανάρτηση αντίστοιχης πινακίδας απαγόρευσης του καπνίσματος σε χώρο που πιστεύετε πως χρήζει προσοχής, εάν δεν υπάρχει ήδη.</w:t>
            </w:r>
          </w:p>
        </w:tc>
      </w:tr>
      <w:tr w:rsidR="00230617" w:rsidRPr="00871903" w14:paraId="23C7811E" w14:textId="77777777" w:rsidTr="00871903">
        <w:trPr>
          <w:tblCellSpacing w:w="0" w:type="dxa"/>
        </w:trPr>
        <w:tc>
          <w:tcPr>
            <w:tcW w:w="12" w:type="pct"/>
            <w:shd w:val="clear" w:color="auto" w:fill="FFFFFF"/>
            <w:vAlign w:val="center"/>
            <w:hideMark/>
          </w:tcPr>
          <w:p w14:paraId="1B4A4730" w14:textId="3F7340D7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4988" w:type="pct"/>
            <w:shd w:val="clear" w:color="auto" w:fill="FFFFFF"/>
            <w:vAlign w:val="center"/>
            <w:hideMark/>
          </w:tcPr>
          <w:p w14:paraId="0B99BBD5" w14:textId="77777777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Καθαρισμός αποθηκών, διαδρόμων, ταρατσών και υπογείων από τα άχρηστα και εύφλεκτα υλικά.</w:t>
            </w:r>
          </w:p>
        </w:tc>
      </w:tr>
      <w:tr w:rsidR="00230617" w:rsidRPr="00871903" w14:paraId="6EB9D668" w14:textId="77777777" w:rsidTr="00871903">
        <w:trPr>
          <w:tblCellSpacing w:w="0" w:type="dxa"/>
        </w:trPr>
        <w:tc>
          <w:tcPr>
            <w:tcW w:w="12" w:type="pct"/>
            <w:shd w:val="clear" w:color="auto" w:fill="FFFFFF"/>
            <w:vAlign w:val="center"/>
            <w:hideMark/>
          </w:tcPr>
          <w:p w14:paraId="37B13237" w14:textId="5EAAF7CB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4988" w:type="pct"/>
            <w:shd w:val="clear" w:color="auto" w:fill="FFFFFF"/>
            <w:vAlign w:val="center"/>
            <w:hideMark/>
          </w:tcPr>
          <w:p w14:paraId="23E04B6A" w14:textId="77777777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Διατήρηση καθαρών και εύκολα προσπελάσιμων των αποθηκών, εργαστηρίων κλπ. ώστε να είναι εύκολη η επέμβαση σε περίπτωση πυρκαγιάς.</w:t>
            </w:r>
          </w:p>
        </w:tc>
      </w:tr>
      <w:tr w:rsidR="00230617" w:rsidRPr="00871903" w14:paraId="4894183F" w14:textId="77777777" w:rsidTr="00871903">
        <w:trPr>
          <w:tblCellSpacing w:w="0" w:type="dxa"/>
        </w:trPr>
        <w:tc>
          <w:tcPr>
            <w:tcW w:w="12" w:type="pct"/>
            <w:shd w:val="clear" w:color="auto" w:fill="FFFFFF"/>
            <w:vAlign w:val="center"/>
            <w:hideMark/>
          </w:tcPr>
          <w:p w14:paraId="6A6336C2" w14:textId="52D66275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4988" w:type="pct"/>
            <w:shd w:val="clear" w:color="auto" w:fill="FFFFFF"/>
            <w:vAlign w:val="center"/>
            <w:hideMark/>
          </w:tcPr>
          <w:p w14:paraId="7B38AEBA" w14:textId="104368D6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 xml:space="preserve">Διακοπή του ηλεκτρικού ρεύματος στις μη εργάσιμες ώρες, πλην των φώτων ασφαλείας. Στο τέλος της δουλειάς σβήνουμε ΟΛΑ τα φώτα και για </w:t>
            </w:r>
            <w:r w:rsidR="00871903"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εξοικονόμηση</w:t>
            </w: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 xml:space="preserve"> ενέργειας!</w:t>
            </w:r>
          </w:p>
        </w:tc>
      </w:tr>
      <w:tr w:rsidR="00230617" w:rsidRPr="00871903" w14:paraId="191CAF50" w14:textId="77777777" w:rsidTr="00871903">
        <w:trPr>
          <w:tblCellSpacing w:w="0" w:type="dxa"/>
        </w:trPr>
        <w:tc>
          <w:tcPr>
            <w:tcW w:w="12" w:type="pct"/>
            <w:shd w:val="clear" w:color="auto" w:fill="FFFFFF"/>
            <w:vAlign w:val="center"/>
            <w:hideMark/>
          </w:tcPr>
          <w:p w14:paraId="7472FA55" w14:textId="65AD3587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4988" w:type="pct"/>
            <w:shd w:val="clear" w:color="auto" w:fill="FFFFFF"/>
            <w:vAlign w:val="center"/>
            <w:hideMark/>
          </w:tcPr>
          <w:p w14:paraId="79FA79B9" w14:textId="1C8D4318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 xml:space="preserve">Συντήρηση των ηλεκτρικών εγκαταστάσεων ώστε να αποφεύγονται βραχυκυκλώματα. </w:t>
            </w:r>
            <w:r w:rsidR="00871903"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Συνεννοηθείτε</w:t>
            </w: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 xml:space="preserve"> με τον υπεύθυνο της τεχνικής υπηρεσίας.</w:t>
            </w:r>
          </w:p>
        </w:tc>
      </w:tr>
      <w:tr w:rsidR="00230617" w:rsidRPr="00871903" w14:paraId="7E63D81F" w14:textId="77777777" w:rsidTr="00871903">
        <w:trPr>
          <w:tblCellSpacing w:w="0" w:type="dxa"/>
        </w:trPr>
        <w:tc>
          <w:tcPr>
            <w:tcW w:w="12" w:type="pct"/>
            <w:shd w:val="clear" w:color="auto" w:fill="FFFFFF"/>
            <w:vAlign w:val="center"/>
            <w:hideMark/>
          </w:tcPr>
          <w:p w14:paraId="7C7E4256" w14:textId="2266CCF4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4988" w:type="pct"/>
            <w:shd w:val="clear" w:color="auto" w:fill="FFFFFF"/>
            <w:vAlign w:val="center"/>
            <w:hideMark/>
          </w:tcPr>
          <w:p w14:paraId="12C3D8E1" w14:textId="40B2EA5C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 xml:space="preserve">Προστασία της ίδιας της ηλεκτρικής εγκατάστασης και των καλωδίων με κατάλληλη επικάλυψη. </w:t>
            </w:r>
            <w:r w:rsidR="00871903"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Συνεννοηθείτε</w:t>
            </w: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 xml:space="preserve"> με τον υπεύθυνο της τεχνικής υπηρεσίας.</w:t>
            </w:r>
          </w:p>
        </w:tc>
      </w:tr>
      <w:tr w:rsidR="00230617" w:rsidRPr="00871903" w14:paraId="49E00568" w14:textId="77777777" w:rsidTr="00871903">
        <w:trPr>
          <w:tblCellSpacing w:w="0" w:type="dxa"/>
        </w:trPr>
        <w:tc>
          <w:tcPr>
            <w:tcW w:w="12" w:type="pct"/>
            <w:shd w:val="clear" w:color="auto" w:fill="FFFFFF"/>
            <w:vAlign w:val="center"/>
            <w:hideMark/>
          </w:tcPr>
          <w:p w14:paraId="576719CB" w14:textId="68B7412E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4988" w:type="pct"/>
            <w:shd w:val="clear" w:color="auto" w:fill="FFFFFF"/>
            <w:vAlign w:val="center"/>
            <w:hideMark/>
          </w:tcPr>
          <w:p w14:paraId="29555664" w14:textId="77777777" w:rsidR="00230617" w:rsidRPr="00871903" w:rsidRDefault="00230617" w:rsidP="0087190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Ανάρτηση πινακίδων σε εμφανή σημεία, στις οποίες να αναγράφονται οδηγίες προλήψεως πυρκαγιών και οι τρόποι συμπεριφοράς του προσωπικού σε περίπτωση πυρκαγιάς.</w:t>
            </w:r>
          </w:p>
        </w:tc>
      </w:tr>
    </w:tbl>
    <w:p w14:paraId="2EE9FDB8" w14:textId="77777777" w:rsidR="00871903" w:rsidRDefault="00871903" w:rsidP="00871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l-GR"/>
        </w:rPr>
      </w:pPr>
    </w:p>
    <w:p w14:paraId="4EAFEB28" w14:textId="77777777" w:rsidR="00871903" w:rsidRDefault="00871903" w:rsidP="00871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l-GR"/>
        </w:rPr>
      </w:pPr>
    </w:p>
    <w:p w14:paraId="5B25B678" w14:textId="77777777" w:rsidR="00871903" w:rsidRDefault="00871903" w:rsidP="00871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l-GR"/>
        </w:rPr>
      </w:pPr>
    </w:p>
    <w:p w14:paraId="323C40C5" w14:textId="202F8C4A" w:rsidR="00230617" w:rsidRPr="00871903" w:rsidRDefault="00230617" w:rsidP="00871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</w:pPr>
      <w:r w:rsidRPr="0087190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l-GR"/>
        </w:rPr>
        <w:lastRenderedPageBreak/>
        <w:t>ΚΑΤΗΓΟΡΙΕΣ ΠΥΡΚΑΓΙΩΝ</w:t>
      </w:r>
    </w:p>
    <w:p w14:paraId="4C8DA52D" w14:textId="61E404FE" w:rsidR="00230617" w:rsidRDefault="00230617" w:rsidP="00871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</w:pPr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t xml:space="preserve">Ανάλογα με το καιόμενο καύσιμο οι πυρκαγιές χωρίζονται σε 4 βασικές κατηγορίες, A B C D και E. Οι κατηγορίες πυρκαγιών, η αντίστοιχη σήμανση και τα </w:t>
      </w:r>
      <w:r w:rsidR="00871903"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t>μέσα</w:t>
      </w:r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t xml:space="preserve"> πυρόσβεσης, που μπορούν να χρησιμοποιηθούν για την κατάσβεση της κάθε κατηγορίας περιγράφονται στους δύο πίνακες που ακολουθούν.</w:t>
      </w:r>
    </w:p>
    <w:p w14:paraId="66F0EF9B" w14:textId="77777777" w:rsidR="00871903" w:rsidRPr="00871903" w:rsidRDefault="00871903" w:rsidP="008719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230617" w:rsidRPr="00871903" w14:paraId="7A7CD1C1" w14:textId="77777777" w:rsidTr="00230617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14:paraId="7106807E" w14:textId="77777777" w:rsidR="00230617" w:rsidRPr="00871903" w:rsidRDefault="00230617" w:rsidP="0087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04C92DE" wp14:editId="74AB361F">
                  <wp:extent cx="714375" cy="7048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shd w:val="clear" w:color="auto" w:fill="FFFFFF"/>
            <w:hideMark/>
          </w:tcPr>
          <w:p w14:paraId="58345DEC" w14:textId="11465D53" w:rsidR="00871903" w:rsidRPr="00871903" w:rsidRDefault="00230617" w:rsidP="00871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l-GR"/>
              </w:rPr>
              <w:t>Κατηγορία Α</w:t>
            </w: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br/>
              <w:t>Προέρχονται από την καύση στερεών υλικών, οργανικής συνήθως συνθέσεως, στις οποίες η ανάφλεξη λαμβάνει χώρα κανονικά με σχηματισμό "</w:t>
            </w:r>
            <w:proofErr w:type="spellStart"/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τεφροανθράκων</w:t>
            </w:r>
            <w:proofErr w:type="spellEnd"/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" (ξύλο, χαρτί, άχυρο, υφάσματα, διάφορα πλαστικά κ.λπ.)</w:t>
            </w:r>
          </w:p>
          <w:p w14:paraId="3A26B865" w14:textId="77777777" w:rsidR="00230617" w:rsidRPr="00871903" w:rsidRDefault="00230617" w:rsidP="00871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230617" w:rsidRPr="00871903" w14:paraId="67C7D2F7" w14:textId="77777777" w:rsidTr="002306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187DBDE" w14:textId="77777777" w:rsidR="00230617" w:rsidRPr="00871903" w:rsidRDefault="00230617" w:rsidP="0087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7483D8B" wp14:editId="596DE81E">
                  <wp:extent cx="714375" cy="7048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740A85C6" w14:textId="6C0409B6" w:rsidR="00230617" w:rsidRDefault="00230617" w:rsidP="00871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l-GR"/>
              </w:rPr>
              <w:t>Κατηγορία Β</w:t>
            </w: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br/>
              <w:t xml:space="preserve">Προέρχονται από υγρά καύσιμα ή υγροποιημένα αέρια (π.χ. αιθέρας, οινόπνευμα, βενζίνη, λάδια, λίπη </w:t>
            </w:r>
            <w:proofErr w:type="spellStart"/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κ.α</w:t>
            </w:r>
            <w:proofErr w:type="spellEnd"/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)</w:t>
            </w:r>
          </w:p>
          <w:p w14:paraId="52BAEAA0" w14:textId="42805E65" w:rsidR="00230617" w:rsidRPr="00871903" w:rsidRDefault="00230617" w:rsidP="00871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</w:tc>
      </w:tr>
      <w:tr w:rsidR="00230617" w:rsidRPr="00871903" w14:paraId="66E5D963" w14:textId="77777777" w:rsidTr="002306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7F53B92" w14:textId="77777777" w:rsidR="00230617" w:rsidRPr="00871903" w:rsidRDefault="00230617" w:rsidP="0087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23B4F4A" w14:textId="51B2192A" w:rsidR="00230617" w:rsidRDefault="00230617" w:rsidP="0087190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l-GR"/>
              </w:rPr>
              <w:t>Κατηγορία C</w:t>
            </w: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br/>
              <w:t xml:space="preserve">Προέρχονται από αέρια καύσιμα (μεθάνιο, προπάνιο, βουτάνιο, </w:t>
            </w:r>
            <w:proofErr w:type="spellStart"/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ασετυλίνη</w:t>
            </w:r>
            <w:proofErr w:type="spellEnd"/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, υδρογόνο κ.λπ.)</w:t>
            </w:r>
          </w:p>
          <w:p w14:paraId="387C3D3F" w14:textId="77777777" w:rsidR="00871903" w:rsidRDefault="00871903" w:rsidP="0087190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  <w:p w14:paraId="15FB5B2F" w14:textId="73A0FDF3" w:rsidR="00871903" w:rsidRPr="00871903" w:rsidRDefault="00871903" w:rsidP="0087190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</w:tc>
      </w:tr>
      <w:tr w:rsidR="00230617" w:rsidRPr="00871903" w14:paraId="7190E763" w14:textId="77777777" w:rsidTr="002306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AD19777" w14:textId="77777777" w:rsidR="00230617" w:rsidRPr="00871903" w:rsidRDefault="00230617" w:rsidP="0087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36B9D71" w14:textId="5376FEE9" w:rsidR="00230617" w:rsidRDefault="00230617" w:rsidP="0087190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l-GR"/>
              </w:rPr>
              <w:t>Κατηγορία D</w:t>
            </w: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br/>
              <w:t xml:space="preserve">Προέρχονται από την καύση μετάλλων νάτριο, κάλλιο, μαγνήσιο, τιτάνιο </w:t>
            </w:r>
            <w:proofErr w:type="spellStart"/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κ.λπ</w:t>
            </w:r>
            <w:proofErr w:type="spellEnd"/>
          </w:p>
          <w:p w14:paraId="171E0E9C" w14:textId="77777777" w:rsidR="00871903" w:rsidRDefault="00871903" w:rsidP="0087190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  <w:p w14:paraId="75AC644D" w14:textId="385D6EAC" w:rsidR="00871903" w:rsidRPr="00871903" w:rsidRDefault="00871903" w:rsidP="0087190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</w:p>
        </w:tc>
      </w:tr>
      <w:tr w:rsidR="00230617" w:rsidRPr="00871903" w14:paraId="68E5F712" w14:textId="77777777" w:rsidTr="002306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F09C643" w14:textId="77777777" w:rsidR="00230617" w:rsidRPr="00871903" w:rsidRDefault="00230617" w:rsidP="0087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86EB2F1" wp14:editId="79D3C4E7">
                  <wp:extent cx="714375" cy="704850"/>
                  <wp:effectExtent l="0" t="0" r="952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1507D794" w14:textId="55C24A22" w:rsidR="00230617" w:rsidRPr="00871903" w:rsidRDefault="00230617" w:rsidP="00871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l-GR"/>
              </w:rPr>
              <w:t>Κατηγορία</w:t>
            </w:r>
            <w:r w:rsidR="008719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l-GR"/>
              </w:rPr>
              <w:t xml:space="preserve"> </w:t>
            </w:r>
            <w:r w:rsidRPr="0087190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l-GR"/>
              </w:rPr>
              <w:t>E</w:t>
            </w:r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br/>
              <w:t xml:space="preserve">Προέρχονται από </w:t>
            </w:r>
            <w:proofErr w:type="spellStart"/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>από</w:t>
            </w:r>
            <w:proofErr w:type="spellEnd"/>
            <w:r w:rsidRPr="0087190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l-GR"/>
              </w:rPr>
              <w:t xml:space="preserve"> καύσιμα των προηγουμένων κατηγοριών (A,B,C,D) πάνω ή κοντά σε ηλεκτρικές συσκευές ή εγκαταστάσεις, που βρίσκονται υπό τάση</w:t>
            </w:r>
          </w:p>
        </w:tc>
      </w:tr>
    </w:tbl>
    <w:p w14:paraId="39FD059A" w14:textId="77777777" w:rsidR="00871903" w:rsidRDefault="00871903" w:rsidP="008719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l-GR"/>
        </w:rPr>
      </w:pPr>
    </w:p>
    <w:p w14:paraId="5A950424" w14:textId="77777777" w:rsidR="00871903" w:rsidRDefault="00871903" w:rsidP="00871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l-GR"/>
        </w:rPr>
      </w:pPr>
    </w:p>
    <w:p w14:paraId="71D499A5" w14:textId="0283EA8C" w:rsidR="00871903" w:rsidRDefault="00871903" w:rsidP="00871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l-GR"/>
        </w:rPr>
      </w:pPr>
    </w:p>
    <w:p w14:paraId="19C99EF4" w14:textId="19A2E32E" w:rsidR="00871903" w:rsidRDefault="00871903" w:rsidP="00871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l-GR"/>
        </w:rPr>
      </w:pPr>
    </w:p>
    <w:p w14:paraId="18F2139C" w14:textId="4F15E6DC" w:rsidR="00871903" w:rsidRDefault="00871903" w:rsidP="00871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l-GR"/>
        </w:rPr>
      </w:pPr>
    </w:p>
    <w:p w14:paraId="1646562C" w14:textId="77777777" w:rsidR="0045727B" w:rsidRDefault="0045727B" w:rsidP="00871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l-GR"/>
        </w:rPr>
      </w:pPr>
    </w:p>
    <w:p w14:paraId="5023511C" w14:textId="77777777" w:rsidR="00871903" w:rsidRDefault="00871903" w:rsidP="00871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l-GR"/>
        </w:rPr>
      </w:pPr>
    </w:p>
    <w:p w14:paraId="27C94312" w14:textId="77777777" w:rsidR="00871903" w:rsidRDefault="00230617" w:rsidP="008719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</w:pPr>
      <w:r w:rsidRPr="0087190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el-GR"/>
        </w:rPr>
        <w:lastRenderedPageBreak/>
        <w:t>ΤΡΟΠΟΙ ΚΑΤΑΠΟΛΕΜΗΣΗΣ ΠΥΡΚΑΓΙΑΣ</w:t>
      </w:r>
    </w:p>
    <w:p w14:paraId="2CE8D519" w14:textId="5D6C88CF" w:rsidR="00230617" w:rsidRPr="00871903" w:rsidRDefault="00230617" w:rsidP="008719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</w:pPr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t>Τα κυριότερα κατασβεστικά υλικά ομαδοποιούνται σε 5 κατηγορίες:</w:t>
      </w:r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br/>
        <w:t>α) Το νερό</w:t>
      </w:r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br/>
        <w:t>β) Οι χημικές ή ξηρές σκόνες κατάσβεσης</w:t>
      </w:r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br/>
        <w:t>γ) Οι αφροί κατάσβεσης</w:t>
      </w:r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br/>
        <w:t xml:space="preserve">δ) Τα ειδικά </w:t>
      </w:r>
      <w:proofErr w:type="spellStart"/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t>αλογονούχα</w:t>
      </w:r>
      <w:proofErr w:type="spellEnd"/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t xml:space="preserve"> υγρά και αέρια (</w:t>
      </w:r>
      <w:proofErr w:type="spellStart"/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t>Halon</w:t>
      </w:r>
      <w:proofErr w:type="spellEnd"/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t>)</w:t>
      </w:r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br/>
        <w:t xml:space="preserve">Ιδιαίτερη προσοχή απαιτείται κατά την χρήση των φορητών πυροσβεστήρων, δεδομένης της μικρής σχετικά ακτίνας δράσης τους (3-10 μέτρα) και του πολύ μικρού χρόνου δράσης τους (10 - 60 </w:t>
      </w:r>
      <w:proofErr w:type="spellStart"/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t>sec</w:t>
      </w:r>
      <w:proofErr w:type="spellEnd"/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t>). Πρέπει επομένως το προσωπικό που θα τους χρησιμοποιήσει να είναι κατάλληλα εκπαιδευμένο, ούτως ώστε να μπορέσει να τους χρησιμοποιήσει αποτελεσματικά, στα πρώτα στάδια της κατάσβεσης της φωτιάς.</w:t>
      </w:r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br/>
        <w:t xml:space="preserve">Στον παρακάτω πίνακα δίδονται στοιχεία και η </w:t>
      </w:r>
      <w:r w:rsidR="00B37BEA"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t>καταλληλόλητα</w:t>
      </w:r>
      <w:r w:rsidRPr="00871903">
        <w:rPr>
          <w:rFonts w:ascii="Times New Roman" w:eastAsia="Times New Roman" w:hAnsi="Times New Roman" w:cs="Times New Roman"/>
          <w:color w:val="666666"/>
          <w:sz w:val="24"/>
          <w:szCs w:val="24"/>
          <w:lang w:eastAsia="el-GR"/>
        </w:rPr>
        <w:t xml:space="preserve"> των διαφόρων φορητών και τροχήλατων πυροσβεστήρων, ανάλογα με την κατηγορία της πυρκαγιάς που έχουμε να αντιμετωπίσουμε.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94"/>
        <w:gridCol w:w="1333"/>
        <w:gridCol w:w="1352"/>
        <w:gridCol w:w="1387"/>
        <w:gridCol w:w="1503"/>
        <w:gridCol w:w="1321"/>
      </w:tblGrid>
      <w:tr w:rsidR="00230617" w:rsidRPr="00871903" w14:paraId="2DA93117" w14:textId="77777777" w:rsidTr="002306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3FAD1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A22DA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>CO2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7FA03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>Κόνεως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EFF76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>Αφρού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B1874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>Νερού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5D1AB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>Αλογονικοί</w:t>
            </w:r>
            <w:proofErr w:type="spellEnd"/>
          </w:p>
        </w:tc>
      </w:tr>
      <w:tr w:rsidR="00230617" w:rsidRPr="00871903" w14:paraId="6F94DDDF" w14:textId="77777777" w:rsidTr="002306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CFA06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>Πυρκαϊά</w:t>
            </w:r>
            <w:proofErr w:type="spellEnd"/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 xml:space="preserve"> 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09AA3" w14:textId="77777777" w:rsidR="00230617" w:rsidRPr="00871903" w:rsidRDefault="00230617" w:rsidP="008719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lang w:eastAsia="el-GR"/>
              </w:rPr>
            </w:pPr>
            <w:proofErr w:type="spellStart"/>
            <w:r w:rsidRPr="00871903">
              <w:rPr>
                <w:rFonts w:ascii="Times New Roman" w:eastAsia="Times New Roman" w:hAnsi="Times New Roman" w:cs="Times New Roman"/>
                <w:color w:val="666666"/>
                <w:lang w:eastAsia="el-GR"/>
              </w:rPr>
              <w:t>Μικροφωτιές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92C9E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Μικροφωτιές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17539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Καταπνίγουν και υγραίνουν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B0505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Υγραίνουν και αποκλείουν αυτανάφλεξη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C4738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Μικροφωτιές</w:t>
            </w:r>
            <w:proofErr w:type="spellEnd"/>
          </w:p>
        </w:tc>
      </w:tr>
      <w:tr w:rsidR="00230617" w:rsidRPr="00871903" w14:paraId="241B01B6" w14:textId="77777777" w:rsidTr="002306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0AC7F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>Πυρκαϊά</w:t>
            </w:r>
            <w:proofErr w:type="spellEnd"/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 xml:space="preserve"> Β,C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660F9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CO2 διώχνει Ο2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30C52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Πνίγει τη φωτιά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EC73CA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Επιπλέει, πνίγει τη φωτιά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2E998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Εξαπλώνει τη φωτιά (!)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8448E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Αποπνίγει</w:t>
            </w:r>
          </w:p>
        </w:tc>
      </w:tr>
      <w:tr w:rsidR="00230617" w:rsidRPr="00871903" w14:paraId="083A207E" w14:textId="77777777" w:rsidTr="002306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D5BFD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>Πυρκαϊά</w:t>
            </w:r>
            <w:proofErr w:type="spellEnd"/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 xml:space="preserve"> 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ECD94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CO2 μη αγώγιμο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18A59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Μη αγώγιμη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53B3E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Αφρός αγώγιμος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E9B3B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Αφρός αγώγιμος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608BD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Υγρό/αέριο μη αγώγιμο</w:t>
            </w:r>
          </w:p>
        </w:tc>
      </w:tr>
      <w:tr w:rsidR="00230617" w:rsidRPr="00871903" w14:paraId="1CD36F9B" w14:textId="77777777" w:rsidTr="002306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D2F7B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>Βεληνεκές 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353E1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1,5 - 3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5C28B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3 - 7,5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5263D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7,5 - 10,5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8C089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9 - 15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F2176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9 - 10,5</w:t>
            </w:r>
          </w:p>
        </w:tc>
      </w:tr>
      <w:tr w:rsidR="00230617" w:rsidRPr="00871903" w14:paraId="633E6AAD" w14:textId="77777777" w:rsidTr="002306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D4893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>Μέσον κατασβέσεως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6233E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CO2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2D479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Σκόνη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DDC5B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Πομφόλυγες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B63F4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Νερό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659C3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ατμοί/αέριο</w:t>
            </w:r>
          </w:p>
        </w:tc>
      </w:tr>
      <w:tr w:rsidR="00230617" w:rsidRPr="00871903" w14:paraId="36213D20" w14:textId="77777777" w:rsidTr="002306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F4AB5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>Διάρκεια δράσης (</w:t>
            </w:r>
            <w:proofErr w:type="spellStart"/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>sec</w:t>
            </w:r>
            <w:proofErr w:type="spellEnd"/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1F61E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10 - 20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BBA30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10 - 16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27C62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A973C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8DE9E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30</w:t>
            </w:r>
          </w:p>
        </w:tc>
      </w:tr>
      <w:tr w:rsidR="00230617" w:rsidRPr="00871903" w14:paraId="1419EA1C" w14:textId="77777777" w:rsidTr="002306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2B36A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>Ψύξη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9CB97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ΟΧΙ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430C7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ΟΧΙ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022BA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ΝΑΙ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10AA5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ΝΑΙ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223F2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ΟΧΙ</w:t>
            </w:r>
          </w:p>
        </w:tc>
      </w:tr>
      <w:tr w:rsidR="00230617" w:rsidRPr="00871903" w14:paraId="443C6D6A" w14:textId="77777777" w:rsidTr="002306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6FCED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>Προωθητικό μέσο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1F83F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CO2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D7528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CO2 ή Ν2 ή Αέρας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46B80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Αέρια αντιδράσεως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D03F7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 xml:space="preserve">Αέρια αντιδράσεως φυσίγγιο CO2 </w:t>
            </w:r>
            <w:proofErr w:type="spellStart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Aέρας</w:t>
            </w:r>
            <w:proofErr w:type="spellEnd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 xml:space="preserve"> ή </w:t>
            </w:r>
            <w:proofErr w:type="spellStart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Αζωτο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DD4DF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 xml:space="preserve">Χειραντλία ή </w:t>
            </w:r>
            <w:proofErr w:type="spellStart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Aζωτο</w:t>
            </w:r>
            <w:proofErr w:type="spellEnd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 xml:space="preserve"> / </w:t>
            </w:r>
            <w:proofErr w:type="spellStart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αυτοπιέζει</w:t>
            </w:r>
            <w:proofErr w:type="spellEnd"/>
          </w:p>
        </w:tc>
      </w:tr>
      <w:tr w:rsidR="00230617" w:rsidRPr="00871903" w14:paraId="7A3F0FC3" w14:textId="77777777" w:rsidTr="00871903">
        <w:trPr>
          <w:trHeight w:val="16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E65C1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b/>
                <w:bCs/>
                <w:color w:val="000033"/>
                <w:lang w:eastAsia="el-GR"/>
              </w:rPr>
              <w:t>Συντήρηση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28CAF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Ζύγισμα ανά 6μηνο. Δοκιμές δοχείου ανά 12 έτη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BDACF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 xml:space="preserve">Ζύγισμα ανά 6μηνο. </w:t>
            </w:r>
            <w:proofErr w:type="spellStart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Ελεγχος</w:t>
            </w:r>
            <w:proofErr w:type="spellEnd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 xml:space="preserve"> πιέσεως CO2. Δοκιμή δοχείου κάθε 10 έτη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60ABF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 xml:space="preserve">Αναγόμωση κάθε </w:t>
            </w:r>
            <w:proofErr w:type="spellStart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χρόνο.Δοκιμή</w:t>
            </w:r>
            <w:proofErr w:type="spellEnd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 xml:space="preserve"> δοχείου κάθε 5 έτη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7092B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 xml:space="preserve">Αναγόμωση κάθε </w:t>
            </w:r>
            <w:proofErr w:type="spellStart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χρόνο.Ζύγισμα</w:t>
            </w:r>
            <w:proofErr w:type="spellEnd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 xml:space="preserve"> κάθε 6 </w:t>
            </w:r>
            <w:proofErr w:type="spellStart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μηνο.Ελεγχος</w:t>
            </w:r>
            <w:proofErr w:type="spellEnd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 xml:space="preserve"> πιέσεως κάθε 2 </w:t>
            </w:r>
            <w:proofErr w:type="spellStart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μηνο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790EA" w14:textId="77777777" w:rsidR="00230617" w:rsidRPr="00871903" w:rsidRDefault="00230617" w:rsidP="0087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>Ελεγχος</w:t>
            </w:r>
            <w:proofErr w:type="spellEnd"/>
            <w:r w:rsidRPr="00871903">
              <w:rPr>
                <w:rFonts w:ascii="Times New Roman" w:eastAsia="Times New Roman" w:hAnsi="Times New Roman" w:cs="Times New Roman"/>
                <w:lang w:eastAsia="el-GR"/>
              </w:rPr>
              <w:t xml:space="preserve"> κάθε 6μηνο</w:t>
            </w:r>
          </w:p>
        </w:tc>
      </w:tr>
    </w:tbl>
    <w:p w14:paraId="25CC9BF2" w14:textId="733B0C94" w:rsidR="0045727B" w:rsidRPr="0045727B" w:rsidRDefault="0045727B" w:rsidP="00457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BEE5875" w14:textId="3313DCAF" w:rsidR="0045727B" w:rsidRPr="00871903" w:rsidRDefault="00457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Πηγή: </w:t>
      </w:r>
      <w:r w:rsidRPr="0045727B">
        <w:rPr>
          <w:rFonts w:ascii="Times New Roman" w:hAnsi="Times New Roman" w:cs="Times New Roman"/>
        </w:rPr>
        <w:t>http://www.eie.gr/</w:t>
      </w:r>
    </w:p>
    <w:sectPr w:rsidR="0045727B" w:rsidRPr="008719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1D1A"/>
    <w:multiLevelType w:val="hybridMultilevel"/>
    <w:tmpl w:val="590ECF7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AB"/>
    <w:rsid w:val="000613BB"/>
    <w:rsid w:val="00230617"/>
    <w:rsid w:val="004568BD"/>
    <w:rsid w:val="0045727B"/>
    <w:rsid w:val="00484B20"/>
    <w:rsid w:val="00871903"/>
    <w:rsid w:val="00B37BEA"/>
    <w:rsid w:val="00C5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9046"/>
  <w15:chartTrackingRefBased/>
  <w15:docId w15:val="{873D85E9-E79E-43B8-8F5F-213B6E25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2024-10-16T19:21:00Z</dcterms:created>
  <dcterms:modified xsi:type="dcterms:W3CDTF">2024-11-11T07:49:00Z</dcterms:modified>
</cp:coreProperties>
</file>