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D6" w:rsidRPr="00231BD6" w:rsidRDefault="00231BD6" w:rsidP="00231BD6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b/>
          <w:bCs/>
          <w:color w:val="466EB4"/>
          <w:kern w:val="36"/>
          <w:sz w:val="48"/>
          <w:szCs w:val="48"/>
          <w:lang w:eastAsia="el-GR"/>
        </w:rPr>
      </w:pPr>
      <w:r w:rsidRPr="00231BD6">
        <w:rPr>
          <w:rFonts w:ascii="Arial" w:eastAsia="Times New Roman" w:hAnsi="Arial" w:cs="Arial"/>
          <w:b/>
          <w:bCs/>
          <w:color w:val="466EB4"/>
          <w:kern w:val="36"/>
          <w:sz w:val="48"/>
          <w:szCs w:val="48"/>
          <w:lang w:eastAsia="el-GR"/>
        </w:rPr>
        <w:br/>
        <w:t>Γήρανση του πληθυσμού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212529"/>
          <w:sz w:val="29"/>
          <w:szCs w:val="29"/>
          <w:lang w:eastAsia="el-GR"/>
        </w:rPr>
      </w:pPr>
      <w:r w:rsidRPr="00231BD6">
        <w:rPr>
          <w:rFonts w:ascii="Arial" w:eastAsia="Times New Roman" w:hAnsi="Arial" w:cs="Arial"/>
          <w:b/>
          <w:bCs/>
          <w:color w:val="212529"/>
          <w:sz w:val="29"/>
          <w:szCs w:val="29"/>
          <w:lang w:eastAsia="el-GR"/>
        </w:rPr>
        <w:t>Το ποσοστό των ατόμων ηλικίας 80 ετών και άνω σχεδόν διπλασιάστηκε μεταξύ του 2001 και του 2020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πληθυσμός της ΕΕ γηράσκει και αυτό μπορεί να διαπιστωθεί μέσω διαφόρων στατιστικών δεικτών όπως: η εξέλιξη του ποσοστού του πληθυσμού των ηλικιωμένων, ο δείκτης εξάρτησης ηλικιωμένων και η διάμεση ηλικία. Εξετάζοντας πρώτα την εξέλιξη του ποσοστού των ηλικιωμένων στον πληθυσμό το 2020, το 21 % του πληθυσμού ήταν ηλικίας 65 ετών και άνω, έναντι 16 % το 2001, σημειώνοντας αύξηση κατά 5 ποσοστιαίες μονάδες. Ειδικότερα, όσον αφορά την ομάδα των 80 ετών και άνω, το μερίδιό τους ήταν σχεδόν 6 % το 2020, ενώ ήταν 3,4 % το 2001, το οποίο σημαίνει ότι το ποσοστό τους σχεδόν διπλασιάστηκε κατά την περίοδο αυτή. Από την άλλη πλευρά, το ποσοστό των νέων (ηλικίας 0 έως 19 ετών) στην ΕΕ ήταν 20 % το 2020, σημειώνοντας μείωση κατά 3 ποσοστιαίες μονάδες σε σύγκριση με 23 % το 2001.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Εξετάζοντας το ποσοστό των ατόμων ηλικίας 65 ετών και άνω στον συνολικό πληθυσμό, η Ιταλία (23 %), η Ελλάδα, η Φινλανδία, η Πορτογαλία, η Γερμανία και η Βουλγαρία (όλες 22 %) είχαν τα υψηλότερα ποσοστά, ενώ η Ιρλανδία (14 %) και το Λουξεμβούργο (15 %) είχαν το χαμηλότερο ποσοστό. Κατά την περίοδο 2001-2020 παρατηρήθηκε αύξηση του ποσοστού των ατόμων ηλικίας 65 ετών και άνω σε όλα τα κράτη μέλη, από τη μεγαλύτερη αύξηση στη Φινλανδία (+7 ποσοστιαίες μονάδες) μέχρι τη χαμηλότερη που παρατηρήθηκε στο Λουξεμβούργο (+1 ποσοστιαία μονάδα).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ποσοστό των ατόμων ηλικίας 80 ετών και άνω αυξήθηκε σε όλα τα κράτη μέλη μεταξύ 2001 και 2020, εκτός από τη Σουηδία όπου παρέμεινε σταθερό (5 %). Σε ορισμένα κράτη μέλη, το ποσοστό αυτό υπερδιπλασιάστηκε: στη Λιθουανία και την Κροατία από 2 % το 2001 σε 6 % το 2020, στη Ρουμανία, τη Βουλγαρία και τη Σλοβενία από 2 % σε 5 %.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Όσον αφορά τους νέους, τα υψηλότερα ποσοστά των ατόμων ηλικίας κάτω των 20 ετών στο συνολικό πληθυσμό παρατηρήθηκαν στην Ιρλανδία (27 %), τη Γαλλία (24 %) και τη Σουηδία (23 %), ενώ τα χαμηλότερα ποσοστά καταγράφηκαν στη Μάλτα, την Ιταλία και τη Γερμανία (όλες 18 %). Κατά την περίοδο 2001-2020 παρατηρήθηκε μείωση του ποσοστού των νέων σε όλα τα κράτη μέλη, με τη μεγαλύτερη μείωση στη Μάλτα και την Κύπρο (-9 </w:t>
      </w: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ποσοστιαίες μονάδες) και τη χαμηλότερη να παρατηρείται στη Σουηδία (σχεδόν -1 ποσοστιαία μονάδα) και στο Βέλγιο (-1 ποσοστιαία μονάδα).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212529"/>
          <w:sz w:val="29"/>
          <w:szCs w:val="29"/>
          <w:lang w:eastAsia="el-GR"/>
        </w:rPr>
      </w:pPr>
      <w:r w:rsidRPr="00231BD6">
        <w:rPr>
          <w:rFonts w:ascii="Arial" w:eastAsia="Times New Roman" w:hAnsi="Arial" w:cs="Arial"/>
          <w:b/>
          <w:bCs/>
          <w:color w:val="212529"/>
          <w:sz w:val="29"/>
          <w:szCs w:val="29"/>
          <w:lang w:eastAsia="el-GR"/>
        </w:rPr>
        <w:t>Μείωση των νέων κάτω των 20 ετών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Όσον αφορά τα παιδιά και τους εφήβους, το μερίδιό τους στον πληθυσμό της ΕΕ μειώθηκε τις τελευταίες δύο δεκαετίες. Το 2020, το 15 % του πληθυσμού ήταν ηλικίας κάτω των 14 ετών, έναντι 17 % το 2001, σημειώνοντας μείωση κατά 2 ποσοστιαίες μονάδες. Για τα άτομα ηλικίας 15 έως 19 ετών, το μερίδιό τους ήταν 5 % του πληθυσμού της ΕΕ το 2020, έναντι 6 % το 2001, με μείωση κατά 1 ποσοστιαία μονάδα.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2020, το ποσοστό των παιδιών ηλικίας κάτω των 14 ετών ήταν υψηλότερο στην Ιρλανδία (20 %), τη Γαλλία και τη Σουηδία (18 % και στις δύο) και χαμηλότερο στην Ιταλία και τη Μάλτα (13 % και στις δύο). Κατά την περίοδο 2001-2020, παρατηρήθηκε μείωση του ποσοστού των ατόμων αυτής της ηλικιακής ομάδας σε όλα τα κράτη μέλη, με τις μεγαλύτερες μειώσεις στην Κύπρο και τη Μάλτα (αμφότερες -6 ποσοστιαίες μονάδες).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ποσοστό των ατόμων ηλικίας 15 έως 19 ετών το 2020 ήταν υψηλότερο στην Ιρλανδία, τη Γαλλία, την Ολλανδία, τη Δανία, την Κύπρο, τη Σουηδία και το Βέλγιο, με ποσοστά περίπου 6 %. Την περίοδο 2001-2020 παρατηρήθηκε μείωση του ποσοστού των ατόμων αυτής της ηλικιακής ομάδας σε όλα τα κράτη μέλη, εκτός από τη Δανία και την Ολλανδία, που παρουσίασαν μικρή αύξηση.</w:t>
      </w:r>
    </w:p>
    <w:p w:rsidR="00231BD6" w:rsidRPr="00231BD6" w:rsidRDefault="00231BD6" w:rsidP="00231BD6">
      <w:pPr>
        <w:pBdr>
          <w:top w:val="single" w:sz="12" w:space="15" w:color="466EB4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466EB4"/>
          <w:sz w:val="34"/>
          <w:szCs w:val="34"/>
          <w:lang w:eastAsia="el-GR"/>
        </w:rPr>
      </w:pPr>
      <w:r w:rsidRPr="00231BD6">
        <w:rPr>
          <w:rFonts w:ascii="Arial" w:eastAsia="Times New Roman" w:hAnsi="Arial" w:cs="Arial"/>
          <w:b/>
          <w:bCs/>
          <w:caps/>
          <w:color w:val="466EB4"/>
          <w:sz w:val="34"/>
          <w:szCs w:val="34"/>
          <w:lang w:eastAsia="el-GR"/>
        </w:rPr>
        <w:t>ΠΛΗΘΥΣΜΟΣ ΚΑΤΑ ΗΛΙΚΙΑΚΗ ΟΜΑΔΑ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212529"/>
          <w:sz w:val="29"/>
          <w:szCs w:val="29"/>
          <w:lang w:eastAsia="el-GR"/>
        </w:rPr>
      </w:pPr>
      <w:r w:rsidRPr="00231BD6">
        <w:rPr>
          <w:rFonts w:ascii="Arial" w:eastAsia="Times New Roman" w:hAnsi="Arial" w:cs="Arial"/>
          <w:b/>
          <w:bCs/>
          <w:color w:val="212529"/>
          <w:sz w:val="29"/>
          <w:szCs w:val="29"/>
          <w:lang w:eastAsia="el-GR"/>
        </w:rPr>
        <w:t>Διάμεση ηλικία του πληθυσμού στην ΕΕ: 44 έτη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Ένας άλλος τρόπος ανάλυσης της γήρανσης της κοινωνίας στην ΕΕ είναι η εξέταση της </w:t>
      </w:r>
      <w:hyperlink r:id="rId4" w:tgtFrame="_blank" w:history="1">
        <w:r w:rsidRPr="00231BD6">
          <w:rPr>
            <w:rFonts w:ascii="Arial" w:eastAsia="Times New Roman" w:hAnsi="Arial" w:cs="Arial"/>
            <w:b/>
            <w:bCs/>
            <w:color w:val="466EB4"/>
            <w:sz w:val="24"/>
            <w:szCs w:val="24"/>
            <w:lang w:eastAsia="el-GR"/>
          </w:rPr>
          <w:t>διάμεσης</w:t>
        </w:r>
      </w:hyperlink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ηλικίας του πληθυσμού. Η διάμεση ηλικία αυξήθηκε κατά την περίοδο 2001-2020: Ήταν 38 έτη το 2001, 41 έτη το 2010 και 44 έτη το 2020. Αυτό σημαίνει αύξηση της διάμεσης ηλικίας κατά 6 έτη στην ΕΕ κατά τη διάρκεια αυτής της περιόδου.</w:t>
      </w:r>
    </w:p>
    <w:p w:rsidR="00231BD6" w:rsidRPr="00231BD6" w:rsidRDefault="00231BD6" w:rsidP="00231BD6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Μεταξύ των κρατών μελών της ΕΕ, η υψηλότερη διάμεση ηλικία το 2020 παρατηρήθηκε στην Ιταλία (47 έτη), τη Γερμανία και την Πορτογαλία (και οι δύο 46 έτη), τη Βουλγαρία και την Ελλάδα (και οι δύο 45), ενώ η χαμηλότερη στην Κύπρο και την Ιρλανδία (και στις δύο 38), καθώς και στο Λουξεμβούργο και τη Μάλτα (και οι δύο 40). Κατά την περίοδο 2001-2020, η διάμεση ηλικία </w:t>
      </w:r>
      <w:r w:rsidRPr="00231BD6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αυξήθηκε κατά 7 έτη και άνω στη Ρουμανία, τη Λιθουανία, την Πορτογαλία, την Ιταλία, τη Σλοβακία, την Ισπανία και την Ελλάδα.</w:t>
      </w:r>
    </w:p>
    <w:p w:rsidR="00231BD6" w:rsidRPr="00231BD6" w:rsidRDefault="00231BD6" w:rsidP="00231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hyperlink r:id="rId5" w:history="1">
        <w:r w:rsidRPr="00231BD6">
          <w:rPr>
            <w:rFonts w:ascii="Arial" w:eastAsia="Times New Roman" w:hAnsi="Arial" w:cs="Arial"/>
            <w:b/>
            <w:bCs/>
            <w:color w:val="466EB4"/>
            <w:sz w:val="24"/>
            <w:szCs w:val="24"/>
            <w:lang w:eastAsia="el-GR"/>
          </w:rPr>
          <w:t>Περισσότερες γυναίκες απ’ ό, τι άνδρες</w:t>
        </w:r>
      </w:hyperlink>
    </w:p>
    <w:p w:rsidR="00231BD6" w:rsidRPr="00231BD6" w:rsidRDefault="00231BD6" w:rsidP="00231BD6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hyperlink r:id="rId6" w:history="1">
        <w:r w:rsidRPr="00231BD6">
          <w:rPr>
            <w:rFonts w:ascii="Arial" w:eastAsia="Times New Roman" w:hAnsi="Arial" w:cs="Arial"/>
            <w:b/>
            <w:bCs/>
            <w:color w:val="6487C3"/>
            <w:sz w:val="24"/>
            <w:szCs w:val="24"/>
            <w:lang w:eastAsia="el-GR"/>
          </w:rPr>
          <w:t>Λιγότερες γεννήσεις</w:t>
        </w:r>
      </w:hyperlink>
    </w:p>
    <w:p w:rsidR="0024791F" w:rsidRDefault="0024791F">
      <w:bookmarkStart w:id="0" w:name="_GoBack"/>
      <w:bookmarkEnd w:id="0"/>
    </w:p>
    <w:sectPr w:rsidR="002479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D6"/>
    <w:rsid w:val="00231BD6"/>
    <w:rsid w:val="002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945D-373A-4129-AA34-1C4203FA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istics.gr/demography/bloc-2a.html?lang=el" TargetMode="External"/><Relationship Id="rId5" Type="http://schemas.openxmlformats.org/officeDocument/2006/relationships/hyperlink" Target="https://www.statistics.gr/demography/bloc-1b.html?lang=el" TargetMode="External"/><Relationship Id="rId4" Type="http://schemas.openxmlformats.org/officeDocument/2006/relationships/hyperlink" Target="https://ec.europa.eu/eurostat/statistics-explained/index.php?title=Glossary:Median&amp;lang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2023-02-20T19:51:00Z</dcterms:created>
  <dcterms:modified xsi:type="dcterms:W3CDTF">2023-02-20T19:53:00Z</dcterms:modified>
</cp:coreProperties>
</file>